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FB" w:rsidRPr="006E19BA" w:rsidRDefault="009B55FB" w:rsidP="009B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00" w:beforeAutospacing="1" w:after="100" w:afterAutospacing="1" w:line="276" w:lineRule="auto"/>
        <w:contextualSpacing/>
        <w:mirrorIndents/>
        <w:jc w:val="center"/>
        <w:outlineLvl w:val="1"/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</w:pPr>
      <w:r w:rsidRPr="006E19BA"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 xml:space="preserve">SCHEDA OPERATIVA </w:t>
      </w:r>
      <w:r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>-</w:t>
      </w:r>
      <w:r w:rsidRPr="006E19BA"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 xml:space="preserve"> PROGETTO “AMORE 3.0 A SCUOLA”</w:t>
      </w:r>
    </w:p>
    <w:p w:rsidR="009B55FB" w:rsidRDefault="009B55FB" w:rsidP="009B55FB">
      <w:pPr>
        <w:spacing w:before="100" w:beforeAutospacing="1" w:after="100" w:afterAutospacing="1" w:line="276" w:lineRule="auto"/>
        <w:contextualSpacing/>
        <w:mirrorIndents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</w:p>
    <w:p w:rsidR="009B55FB" w:rsidRPr="006E19BA" w:rsidRDefault="009B55FB" w:rsidP="009B55FB">
      <w:pPr>
        <w:spacing w:before="100" w:beforeAutospacing="1" w:after="100" w:afterAutospacing="1" w:line="276" w:lineRule="auto"/>
        <w:contextualSpacing/>
        <w:mirrorIndents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6E19BA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Le quattro fasi del percorso nelle classi</w:t>
      </w:r>
    </w:p>
    <w:p w:rsidR="009B55FB" w:rsidRPr="006E19BA" w:rsidRDefault="00B750D6" w:rsidP="009B55FB">
      <w:pPr>
        <w:spacing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0D2A0CBA"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9B55FB" w:rsidRPr="000C6932" w:rsidRDefault="009B55FB" w:rsidP="009B55FB">
      <w:pPr>
        <w:spacing w:before="100" w:beforeAutospacing="1" w:after="100" w:afterAutospacing="1" w:line="276" w:lineRule="auto"/>
        <w:contextualSpacing/>
        <w:mirrorIndents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FASE 1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DECOSTRUZIONE CULTURALE</w:t>
      </w:r>
    </w:p>
    <w:p w:rsidR="009B55FB" w:rsidRPr="000C6932" w:rsidRDefault="009B55FB" w:rsidP="009B55FB">
      <w:pPr>
        <w:spacing w:before="100" w:beforeAutospacing="1" w:after="100" w:afterAutospacing="1" w:line="276" w:lineRule="auto"/>
        <w:jc w:val="center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“Guardare con occhi nuovi quello che i ragazzi vedono ogni giorno”</w:t>
      </w:r>
    </w:p>
    <w:p w:rsidR="009B55FB" w:rsidRDefault="009B55FB" w:rsidP="009B55FB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Obiettivo generale</w:t>
      </w:r>
      <w:r w:rsidRPr="000C6932">
        <w:rPr>
          <w:rFonts w:ascii="Garamond" w:eastAsia="Times New Roman" w:hAnsi="Garamond" w:cs="Times New Roman"/>
          <w:lang w:eastAsia="it-IT"/>
        </w:rPr>
        <w:br/>
        <w:t xml:space="preserve">Aiutare gli studenti a riconoscere i copioni culturali su amore, gelosia, maschilità, femminilità e potere, nascosti in canzoni, serie, social,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meme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>.</w:t>
      </w:r>
    </w:p>
    <w:p w:rsidR="009B55FB" w:rsidRPr="000C6932" w:rsidRDefault="009B55FB" w:rsidP="009B55FB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9B55FB" w:rsidRPr="000C6932" w:rsidRDefault="009B55FB" w:rsidP="009B55FB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Nuclei principali</w:t>
      </w:r>
    </w:p>
    <w:p w:rsidR="009B55FB" w:rsidRPr="000C6932" w:rsidRDefault="009B55FB" w:rsidP="009B55F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Analisi critica di testi, social, serie TV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Si parte da contenuti scelti insieme ai ragazzi.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Si osservano: chi ha potere, chi decide, come viene rappresentata la gelosia, il rifiuto, il conflitto.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 xml:space="preserve">Domande guida: </w:t>
      </w:r>
      <w:r w:rsidRPr="000C6932">
        <w:rPr>
          <w:rFonts w:ascii="Garamond" w:eastAsia="Times New Roman" w:hAnsi="Garamond" w:cs="Times New Roman"/>
          <w:i/>
          <w:iCs/>
          <w:lang w:eastAsia="it-IT"/>
        </w:rPr>
        <w:t>Che idea di amore passa? Che cosa viene normalizzato? Chi si fa male?</w:t>
      </w:r>
    </w:p>
    <w:p w:rsidR="009B55FB" w:rsidRPr="000C6932" w:rsidRDefault="009B55FB" w:rsidP="009B55F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Gelosia romantica e cultura del possesso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 xml:space="preserve">Decostruzione dell’equazione: </w:t>
      </w:r>
      <w:r w:rsidRPr="000C6932">
        <w:rPr>
          <w:rFonts w:ascii="Garamond" w:eastAsia="Times New Roman" w:hAnsi="Garamond" w:cs="Times New Roman"/>
          <w:i/>
          <w:iCs/>
          <w:lang w:eastAsia="it-IT"/>
        </w:rPr>
        <w:t>se non sei geloso, non ci tieni</w:t>
      </w:r>
      <w:r w:rsidRPr="000C6932">
        <w:rPr>
          <w:rFonts w:ascii="Garamond" w:eastAsia="Times New Roman" w:hAnsi="Garamond" w:cs="Times New Roman"/>
          <w:lang w:eastAsia="it-IT"/>
        </w:rPr>
        <w:t>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Dal “controllo = cura” al “controllo = paura / insicurezza”.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Riflessione su come la gelosia può diventare pretesa, controllo, limitazione della libertà.</w:t>
      </w:r>
    </w:p>
    <w:p w:rsidR="009B55FB" w:rsidRPr="000C6932" w:rsidRDefault="009B55FB" w:rsidP="009B55F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Storia e antropologia pop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Breve viaggio nella storia del patriarcato: dalla donna come proprietà a oggi.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Uso di spezzoni di film, vecchi spot, immagini del passato per far vedere “com’era normale” ciò che oggi inizia a disturbare.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Collegamento al presente: cosa è cambiato nelle leggi e nei linguaggi, cosa invece resiste nei copioni relazionali.</w:t>
      </w:r>
    </w:p>
    <w:p w:rsidR="009B55FB" w:rsidRPr="000C6932" w:rsidRDefault="009B55FB" w:rsidP="009B55F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Attività pratiche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Discussioni guidate in piccoli gruppi e plenaria.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Lavori creativi: riscrittura di scene, dialoghi alternativi, poster, brevi testi.</w:t>
      </w:r>
    </w:p>
    <w:p w:rsidR="009B55FB" w:rsidRPr="000C6932" w:rsidRDefault="009B55FB" w:rsidP="009B55F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 xml:space="preserve">Obiettivo: i ragazzi non solo criticano, ma immaginano </w:t>
      </w:r>
      <w:r w:rsidRPr="000C6932">
        <w:rPr>
          <w:rFonts w:ascii="Garamond" w:eastAsia="Times New Roman" w:hAnsi="Garamond" w:cs="Times New Roman"/>
          <w:b/>
          <w:bCs/>
          <w:lang w:eastAsia="it-IT"/>
        </w:rPr>
        <w:t>alternative sane</w:t>
      </w:r>
      <w:r w:rsidRPr="000C6932">
        <w:rPr>
          <w:rFonts w:ascii="Garamond" w:eastAsia="Times New Roman" w:hAnsi="Garamond" w:cs="Times New Roman"/>
          <w:lang w:eastAsia="it-IT"/>
        </w:rPr>
        <w:t>.</w:t>
      </w:r>
    </w:p>
    <w:p w:rsidR="009B55FB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Esito</w:t>
      </w:r>
      <w:r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r w:rsidRPr="000C6932">
        <w:rPr>
          <w:rFonts w:ascii="Garamond" w:eastAsia="Times New Roman" w:hAnsi="Garamond" w:cs="Times New Roman"/>
          <w:b/>
          <w:bCs/>
          <w:lang w:eastAsia="it-IT"/>
        </w:rPr>
        <w:t>atteso</w:t>
      </w:r>
    </w:p>
    <w:p w:rsidR="009B55FB" w:rsidRPr="000C6932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Gli studenti iniziano a dire frasi come: “qui lui la controlla e lo chiama amore”, “questa cosa fa ridere ma in realtà fa male”. Si accende lo sguardo critico.</w:t>
      </w:r>
    </w:p>
    <w:p w:rsidR="009B55FB" w:rsidRPr="000C6932" w:rsidRDefault="00B750D6" w:rsidP="009B55FB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53919020">
          <v:rect id="_x0000_i1028" alt="" style="width:481.6pt;height:.05pt;mso-width-percent:0;mso-height-percent:0;mso-width-percent:0;mso-height-percent:0" o:hralign="center" o:hrstd="t" o:hr="t" fillcolor="#a0a0a0" stroked="f"/>
        </w:pict>
      </w:r>
    </w:p>
    <w:p w:rsidR="009B55FB" w:rsidRPr="000C6932" w:rsidRDefault="009B55FB" w:rsidP="009B55FB">
      <w:pPr>
        <w:spacing w:before="100" w:beforeAutospacing="1" w:after="100" w:afterAutospacing="1"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FASE 2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PALESTRA DELLE EMOZIONI</w:t>
      </w:r>
    </w:p>
    <w:p w:rsidR="009B55FB" w:rsidRPr="000C6932" w:rsidRDefault="009B55FB" w:rsidP="009B55FB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“Dare un nome a quello che sento, prima che diventi violenza”</w:t>
      </w:r>
    </w:p>
    <w:p w:rsidR="009B55FB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Obiettivo generale</w:t>
      </w:r>
    </w:p>
    <w:p w:rsidR="009B55FB" w:rsidRPr="000C6932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Passare dall’analfabetismo emotivo a una prima alfabetizzazione: riconoscere rifiuto, frustrazione, gelosia e imparare a gestirli senza trasformarli in controllo o aggressività.</w:t>
      </w:r>
    </w:p>
    <w:p w:rsidR="009B55FB" w:rsidRPr="000C6932" w:rsidRDefault="009B55FB" w:rsidP="009B55FB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lastRenderedPageBreak/>
        <w:t>Nuclei principali</w:t>
      </w:r>
    </w:p>
    <w:p w:rsidR="009B55FB" w:rsidRPr="000C6932" w:rsidRDefault="009B55FB" w:rsidP="009B55FB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Analfabetismo emotivo nei giovani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Emozioni forti, poche parole per descriverle.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Tutto viene schiacciato in “ansia”, “rabbia”, “paranoia”.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Collegamento diretto tra mancanza di linguaggio emotivo e comportamenti impulsivi.</w:t>
      </w:r>
    </w:p>
    <w:p w:rsidR="009B55FB" w:rsidRPr="000C6932" w:rsidRDefault="009B55FB" w:rsidP="009B55FB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Gestire rifiuto, frustrazione, gelosia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Il rifiuto come ferita all’identità, non solo “un no”.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La frustrazione come esperienza inevitabile, non come ingiustizia personale.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La gelosia come paura di perdere valore, non come prova di amore.</w:t>
      </w:r>
    </w:p>
    <w:p w:rsidR="009B55FB" w:rsidRPr="000C6932" w:rsidRDefault="009B55FB" w:rsidP="009B55FB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Strumenti pratici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Semaforo emotivo</w:t>
      </w:r>
      <w:r w:rsidRPr="000C6932">
        <w:rPr>
          <w:rFonts w:ascii="Garamond" w:eastAsia="Times New Roman" w:hAnsi="Garamond" w:cs="Times New Roman"/>
          <w:lang w:eastAsia="it-IT"/>
        </w:rPr>
        <w:t>: verde (ok), giallo (tensione), rosso (alta attivazione → non decidere).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Mappe emotive</w:t>
      </w:r>
      <w:r w:rsidRPr="000C6932">
        <w:rPr>
          <w:rFonts w:ascii="Garamond" w:eastAsia="Times New Roman" w:hAnsi="Garamond" w:cs="Times New Roman"/>
          <w:lang w:eastAsia="it-IT"/>
        </w:rPr>
        <w:t>: dove sento le emozioni nel corpo, quali pensieri le accompagnano.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Journaling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>: brevi scritture guidate, anche anonime, per dare parole a ciò che non si riesce a dire ad alta voce.</w:t>
      </w:r>
    </w:p>
    <w:p w:rsidR="009B55FB" w:rsidRPr="000C6932" w:rsidRDefault="009B55FB" w:rsidP="009B55FB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Role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playing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 e simulazioni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 xml:space="preserve">Scenari realistici: chat pressanti, richieste di password,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like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 xml:space="preserve"> che scatenano liti, silenzi interpretati come tradimenti.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Prima versione “come succede davvero”, poi versione “come potrebbe andare diversamente”.</w:t>
      </w:r>
    </w:p>
    <w:p w:rsidR="009B55FB" w:rsidRPr="000C6932" w:rsidRDefault="009B55FB" w:rsidP="009B55FB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Si allenano nuove risposte possibili.</w:t>
      </w:r>
    </w:p>
    <w:p w:rsidR="009B55FB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Esito atteso</w:t>
      </w:r>
    </w:p>
    <w:p w:rsidR="009B55FB" w:rsidRPr="000C6932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I ragazzi imparano a dire “oggi ero proprio in rosso”, “mi sono sentito messo da parte” invece di solo “mi hai fatto incazzare”. Compare un minimo spazio tra emozione e azione.</w:t>
      </w:r>
    </w:p>
    <w:p w:rsidR="009B55FB" w:rsidRPr="000C6932" w:rsidRDefault="00B750D6" w:rsidP="009B55FB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14FB7842">
          <v:rect id="_x0000_i1027" alt="" style="width:481.6pt;height:.05pt;mso-width-percent:0;mso-height-percent:0;mso-width-percent:0;mso-height-percent:0" o:hralign="center" o:hrstd="t" o:hr="t" fillcolor="#a0a0a0" stroked="f"/>
        </w:pict>
      </w:r>
    </w:p>
    <w:p w:rsidR="009B55FB" w:rsidRDefault="009B55FB" w:rsidP="009B55FB">
      <w:pPr>
        <w:spacing w:before="100" w:beforeAutospacing="1" w:after="100" w:afterAutospacing="1"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</w:p>
    <w:p w:rsidR="009B55FB" w:rsidRPr="000C6932" w:rsidRDefault="009B55FB" w:rsidP="009B55FB">
      <w:pPr>
        <w:spacing w:before="100" w:beforeAutospacing="1" w:after="100" w:afterAutospacing="1"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FASE 3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CONSENSO E CONFINI DIGITALI</w:t>
      </w:r>
    </w:p>
    <w:p w:rsidR="009B55FB" w:rsidRPr="000C6932" w:rsidRDefault="009B55FB" w:rsidP="009B55FB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“Libertà, rispetto e responsabilità nel corpo e online”</w:t>
      </w:r>
    </w:p>
    <w:p w:rsidR="009B55FB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Obiettivo generale</w:t>
      </w:r>
    </w:p>
    <w:p w:rsidR="009B55FB" w:rsidRPr="000C6932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Educare a un consenso reale (non forzato), alla tutela del corpo e dell’immagine, alla responsabilità nell’uso di foto, video, chat.</w:t>
      </w:r>
    </w:p>
    <w:p w:rsidR="009B55FB" w:rsidRPr="000C6932" w:rsidRDefault="009B55FB" w:rsidP="009B55FB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Nuclei principali</w:t>
      </w:r>
    </w:p>
    <w:p w:rsidR="009B55FB" w:rsidRPr="000C6932" w:rsidRDefault="009B55FB" w:rsidP="009B55FB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Consenso entusiasta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Non basta “non ha detto di no”: serve libertà, serenità, possibilità di rifiutare senza paura.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Esempi di ricatti emotivi travestiti da amore: “se mi ami lo fai…”.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Un sì nato dalla paura non è consenso.</w:t>
      </w:r>
    </w:p>
    <w:p w:rsidR="009B55FB" w:rsidRPr="000C6932" w:rsidRDefault="009B55FB" w:rsidP="009B55FB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Red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flags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 e green </w:t>
      </w: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flags</w:t>
      </w:r>
      <w:proofErr w:type="spellEnd"/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proofErr w:type="spellStart"/>
      <w:r w:rsidRPr="000C6932">
        <w:rPr>
          <w:rFonts w:ascii="Garamond" w:eastAsia="Times New Roman" w:hAnsi="Garamond" w:cs="Times New Roman"/>
          <w:lang w:eastAsia="it-IT"/>
        </w:rPr>
        <w:t>Red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 xml:space="preserve">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flags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 xml:space="preserve">: controllo del telefono, richiesta di password, colpevolizzazione del no,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ridicolizzazione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>, minacce velate.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 xml:space="preserve">Green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flags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>: rispetto dei tempi, possibilità di dire no, scuse sincere, niente pubblicazioni senza permesso.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La classe costruisce i propri elenchi.</w:t>
      </w:r>
    </w:p>
    <w:p w:rsidR="009B55FB" w:rsidRPr="000C6932" w:rsidRDefault="009B55FB" w:rsidP="009B55FB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lastRenderedPageBreak/>
        <w:t>Sexting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, </w:t>
      </w: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revenge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 </w:t>
      </w: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porn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>, confini social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Libertà, rischio, responsabilità nel mandare e ricevere contenuti intimi.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 xml:space="preserve">Revenge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porn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>: non solo pubblicazione, ma anche minaccia come forma di violenza.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Immagine come “corpo simbolico”: niente foto/Stories di altri senza consenso.</w:t>
      </w:r>
    </w:p>
    <w:p w:rsidR="009B55FB" w:rsidRPr="000C6932" w:rsidRDefault="009B55FB" w:rsidP="009B55FB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Indicazioni pratiche per adulti (quando un ragazzo chiede aiuto)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Ascoltare senza minimizzare e senza allarmismi incontrollati.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Non promettere segretezza assoluta: spiegare che, se c’è pericolo, si attiva la rete.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Coinvolgere referenti d’istituto, psicologo, servizi territoriali se necessario.</w:t>
      </w:r>
    </w:p>
    <w:p w:rsidR="009B55FB" w:rsidRPr="000C6932" w:rsidRDefault="009B55FB" w:rsidP="009B55F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Frasi chiave: “non è colpa tua”, “hai fatto bene a parlarne”.</w:t>
      </w:r>
    </w:p>
    <w:p w:rsidR="009B55FB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Esito atteso</w:t>
      </w:r>
    </w:p>
    <w:p w:rsidR="009B55FB" w:rsidRPr="000C6932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I ragazzi interiorizzano l’idea che l’amore non richiede password né prove estreme. Gli adulti hanno una mini-bussola su cosa fare in caso di segnalazioni.</w:t>
      </w:r>
    </w:p>
    <w:p w:rsidR="009B55FB" w:rsidRPr="000C6932" w:rsidRDefault="00B750D6" w:rsidP="009B55FB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75B7E775"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:rsidR="009B55FB" w:rsidRPr="000C6932" w:rsidRDefault="009B55FB" w:rsidP="009B55FB">
      <w:pPr>
        <w:spacing w:before="100" w:beforeAutospacing="1" w:after="100" w:afterAutospacing="1"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FASE 4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0C6932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PEER EDUCATION E CLIMA DI CLASSE</w:t>
      </w:r>
    </w:p>
    <w:p w:rsidR="009B55FB" w:rsidRPr="000C6932" w:rsidRDefault="009B55FB" w:rsidP="009B55FB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“Da destinatari a protagonisti del cambiamento”</w:t>
      </w:r>
    </w:p>
    <w:p w:rsidR="009B55FB" w:rsidRPr="000C6932" w:rsidRDefault="009B55FB" w:rsidP="009B55FB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Obiettivo generale</w:t>
      </w:r>
      <w:r w:rsidRPr="000C6932">
        <w:rPr>
          <w:rFonts w:ascii="Garamond" w:eastAsia="Times New Roman" w:hAnsi="Garamond" w:cs="Times New Roman"/>
          <w:lang w:eastAsia="it-IT"/>
        </w:rPr>
        <w:br/>
        <w:t>Trasformare i ragazzi in alleati contro la violenza: creare prodotti, patti e un clima di classe che non normalizza il controllo e l’umiliazione.</w:t>
      </w:r>
    </w:p>
    <w:p w:rsidR="009B55FB" w:rsidRPr="000C6932" w:rsidRDefault="009B55FB" w:rsidP="009B55FB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Nuclei principali</w:t>
      </w:r>
    </w:p>
    <w:p w:rsidR="009B55FB" w:rsidRPr="000C6932" w:rsidRDefault="009B55FB" w:rsidP="009B55FB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Ruolo dei pari come moltiplicatori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I ragazzi ascoltano più i coetanei che gli adulti.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Allenamento a “non ridere”, “non girare”, “non alimentare” le dinamiche violente.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Piccoli interventi tra pari come leva di cambiamento.</w:t>
      </w:r>
    </w:p>
    <w:p w:rsidR="009B55FB" w:rsidRPr="000C6932" w:rsidRDefault="009B55FB" w:rsidP="009B55FB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Manifesto della classe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 Patto relazionale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Testo breve, scritto dagli studenti, su come vogliono stare insieme.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Frasi in prima persona (“qui non…”) e in forma collettiva (“come classe ci impegniamo a…”).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Esposizione in aula o nei corridoi come riferimento condiviso.</w:t>
      </w:r>
    </w:p>
    <w:p w:rsidR="009B55FB" w:rsidRPr="000C6932" w:rsidRDefault="009B55FB" w:rsidP="009B55FB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 xml:space="preserve">Progetti social, </w:t>
      </w:r>
      <w:proofErr w:type="spellStart"/>
      <w:r w:rsidRPr="000C6932">
        <w:rPr>
          <w:rFonts w:ascii="Garamond" w:eastAsia="Times New Roman" w:hAnsi="Garamond" w:cs="Times New Roman"/>
          <w:b/>
          <w:bCs/>
          <w:lang w:eastAsia="it-IT"/>
        </w:rPr>
        <w:t>reel</w:t>
      </w:r>
      <w:proofErr w:type="spellEnd"/>
      <w:r w:rsidRPr="000C6932">
        <w:rPr>
          <w:rFonts w:ascii="Garamond" w:eastAsia="Times New Roman" w:hAnsi="Garamond" w:cs="Times New Roman"/>
          <w:b/>
          <w:bCs/>
          <w:lang w:eastAsia="it-IT"/>
        </w:rPr>
        <w:t>, prodotti multimediali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proofErr w:type="spellStart"/>
      <w:r w:rsidRPr="000C6932">
        <w:rPr>
          <w:rFonts w:ascii="Garamond" w:eastAsia="Times New Roman" w:hAnsi="Garamond" w:cs="Times New Roman"/>
          <w:lang w:eastAsia="it-IT"/>
        </w:rPr>
        <w:t>Reel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 xml:space="preserve">, video, </w:t>
      </w:r>
      <w:proofErr w:type="spellStart"/>
      <w:r w:rsidRPr="000C6932">
        <w:rPr>
          <w:rFonts w:ascii="Garamond" w:eastAsia="Times New Roman" w:hAnsi="Garamond" w:cs="Times New Roman"/>
          <w:lang w:eastAsia="it-IT"/>
        </w:rPr>
        <w:t>podcast</w:t>
      </w:r>
      <w:proofErr w:type="spellEnd"/>
      <w:r w:rsidRPr="000C6932">
        <w:rPr>
          <w:rFonts w:ascii="Garamond" w:eastAsia="Times New Roman" w:hAnsi="Garamond" w:cs="Times New Roman"/>
          <w:lang w:eastAsia="it-IT"/>
        </w:rPr>
        <w:t>, poster digitali creati dai ragazzi con i messaggi del progetto.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Linguaggi nativi, tono loro, contenuti coerenti con il rispetto.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Possibile diffusione interna (assemblee, sito di istituto) o esterna (canali ufficiali).</w:t>
      </w:r>
    </w:p>
    <w:p w:rsidR="009B55FB" w:rsidRPr="000C6932" w:rsidRDefault="009B55FB" w:rsidP="009B55FB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Clima di classe che “non fa passare” la violenza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Lavoro su battute, soprannomi, commenti sul corpo, umiliazioni in chat.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Coinvolgimento dei “leader” informali per usare il loro peso in senso protettivo.</w:t>
      </w:r>
    </w:p>
    <w:p w:rsidR="009B55FB" w:rsidRPr="000C6932" w:rsidRDefault="009B55FB" w:rsidP="009B55F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Docenti presenti e coerenti: piccole prese di posizione chiare, costanti.</w:t>
      </w:r>
    </w:p>
    <w:p w:rsidR="009B55FB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lang w:eastAsia="it-IT"/>
        </w:rPr>
      </w:pPr>
      <w:r w:rsidRPr="000C6932">
        <w:rPr>
          <w:rFonts w:ascii="Garamond" w:eastAsia="Times New Roman" w:hAnsi="Garamond" w:cs="Times New Roman"/>
          <w:b/>
          <w:bCs/>
          <w:lang w:eastAsia="it-IT"/>
        </w:rPr>
        <w:t>Esito atteso</w:t>
      </w:r>
    </w:p>
    <w:p w:rsidR="009B55FB" w:rsidRPr="000C6932" w:rsidRDefault="009B55FB" w:rsidP="009B55FB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0C6932">
        <w:rPr>
          <w:rFonts w:ascii="Garamond" w:eastAsia="Times New Roman" w:hAnsi="Garamond" w:cs="Times New Roman"/>
          <w:lang w:eastAsia="it-IT"/>
        </w:rPr>
        <w:t>La classe diventa un contesto in cui alcune frasi “non attaccano più”, alcuni comportamenti non sono più normalizzati. Nasce una cultura interna che rende più difficile alla violenza attecchire.</w:t>
      </w:r>
    </w:p>
    <w:p w:rsidR="009B55FB" w:rsidRPr="006E19BA" w:rsidRDefault="00B750D6" w:rsidP="009B55FB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06A437DB"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9B55FB" w:rsidRDefault="009B55FB" w:rsidP="009B55FB">
      <w:pPr>
        <w:tabs>
          <w:tab w:val="left" w:pos="1422"/>
        </w:tabs>
        <w:jc w:val="center"/>
        <w:rPr>
          <w:rFonts w:ascii="Garamond" w:hAnsi="Garamond"/>
          <w:color w:val="000000" w:themeColor="text1"/>
        </w:rPr>
      </w:pPr>
    </w:p>
    <w:p w:rsidR="009B55FB" w:rsidRDefault="009B55FB" w:rsidP="009B55FB">
      <w:pPr>
        <w:jc w:val="center"/>
        <w:rPr>
          <w:rFonts w:ascii="Garamond" w:eastAsia="Times New Roman" w:hAnsi="Garamond" w:cs="Times New Roman"/>
          <w:b/>
          <w:sz w:val="28"/>
          <w:lang w:eastAsia="it-IT"/>
        </w:rPr>
      </w:pPr>
    </w:p>
    <w:p w:rsidR="009B55FB" w:rsidRDefault="009B55FB">
      <w:bookmarkStart w:id="0" w:name="_GoBack"/>
      <w:bookmarkEnd w:id="0"/>
    </w:p>
    <w:sectPr w:rsidR="009B55FB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63CE"/>
    <w:multiLevelType w:val="multilevel"/>
    <w:tmpl w:val="301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9495E"/>
    <w:multiLevelType w:val="multilevel"/>
    <w:tmpl w:val="DEA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55E"/>
    <w:multiLevelType w:val="multilevel"/>
    <w:tmpl w:val="17D0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A366F"/>
    <w:multiLevelType w:val="multilevel"/>
    <w:tmpl w:val="2024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B"/>
    <w:rsid w:val="0003530D"/>
    <w:rsid w:val="009B55FB"/>
    <w:rsid w:val="00B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2034-B884-434F-A669-A5804183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55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2025-12-14T07:55:00Z</dcterms:created>
  <dcterms:modified xsi:type="dcterms:W3CDTF">2025-12-14T07:57:00Z</dcterms:modified>
</cp:coreProperties>
</file>